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buntu" w:hAnsi="Ubuntu" w:eastAsia="Ubuntu" w:cs="Ubuntu"/>
          <w:color w:val="000000"/>
          <w:sz w:val="24"/>
          <w:szCs w:val="24"/>
        </w:rPr>
      </w:pPr>
      <w:r>
        <w:rPr/>
        <w:t>Name(s)_______________________________________________ Period ______ Date ___________________</w:t>
      </w:r>
    </w:p>
    <w:tbl>
      <w:tblPr>
        <w:tblStyle w:val="a"/>
        <w:tblW w:w="12240" w:type="dxa"/>
        <w:jc w:val="left"/>
        <w:tblInd w:w="-975" w:type="dxa"/>
        <w:tblCellMar>
          <w:top w:w="0" w:type="dxa"/>
          <w:left w:w="0" w:type="dxa"/>
          <w:bottom w:w="0" w:type="dxa"/>
          <w:right w:w="0" w:type="dxa"/>
        </w:tblCellMar>
        <w:tblLook w:firstRow="0" w:noVBand="1" w:lastRow="0" w:firstColumn="0" w:lastColumn="0" w:noHBand="1" w:val="0600"/>
      </w:tblPr>
      <w:tblGrid>
        <w:gridCol w:w="913"/>
        <w:gridCol w:w="9973"/>
        <w:gridCol w:w="1354"/>
      </w:tblGrid>
      <w:tr>
        <w:trPr>
          <w:trHeight w:val="520" w:hRule="atLeast"/>
        </w:trPr>
        <w:tc>
          <w:tcPr>
            <w:tcW w:w="913" w:type="dxa"/>
            <w:tcBorders/>
            <w:shd w:color="auto" w:fill="00ADBC" w:val="clear"/>
            <w:vAlign w:val="center"/>
          </w:tcPr>
          <w:p>
            <w:pPr>
              <w:pStyle w:val="Normal"/>
              <w:spacing w:lineRule="auto" w:line="240"/>
              <w:rPr>
                <w:rFonts w:ascii="Ubuntu" w:hAnsi="Ubuntu" w:eastAsia="Ubuntu" w:cs="Ubuntu"/>
                <w:b/>
                <w:b/>
                <w:color w:val="FFFFFF"/>
                <w:sz w:val="36"/>
                <w:szCs w:val="36"/>
              </w:rPr>
            </w:pPr>
            <w:r>
              <w:rPr>
                <w:rFonts w:eastAsia="Ubuntu" w:cs="Ubuntu" w:ascii="Ubuntu" w:hAnsi="Ubuntu"/>
                <w:b/>
                <w:color w:val="FFFFFF"/>
                <w:sz w:val="36"/>
                <w:szCs w:val="36"/>
              </w:rPr>
            </w:r>
          </w:p>
        </w:tc>
        <w:tc>
          <w:tcPr>
            <w:tcW w:w="9973" w:type="dxa"/>
            <w:tcBorders/>
            <w:shd w:color="auto" w:fill="00ADBC" w:val="clear"/>
            <w:vAlign w:val="center"/>
          </w:tcPr>
          <w:p>
            <w:pPr>
              <w:pStyle w:val="Normal"/>
              <w:spacing w:lineRule="auto" w:line="240"/>
              <w:ind w:right="570" w:hanging="0"/>
              <w:rPr>
                <w:rFonts w:ascii="Ubuntu" w:hAnsi="Ubuntu" w:eastAsia="Ubuntu" w:cs="Ubuntu"/>
                <w:b/>
                <w:b/>
                <w:color w:val="FFFFFF"/>
                <w:sz w:val="36"/>
                <w:szCs w:val="36"/>
              </w:rPr>
            </w:pPr>
            <w:r>
              <w:rPr>
                <w:rFonts w:eastAsia="Ubuntu" w:cs="Ubuntu" w:ascii="Ubuntu" w:hAnsi="Ubuntu"/>
                <w:b/>
                <w:color w:val="FFFFFF"/>
                <w:kern w:val="0"/>
                <w:sz w:val="36"/>
                <w:szCs w:val="36"/>
                <w:lang w:val="en" w:eastAsia="sk-SK" w:bidi="ar-SA"/>
              </w:rPr>
              <w:t>Pracovný list</w:t>
            </w:r>
            <w:r>
              <w:rPr>
                <w:rFonts w:eastAsia="Ubuntu" w:cs="Ubuntu" w:ascii="Ubuntu" w:hAnsi="Ubuntu"/>
                <w:b/>
                <w:color w:val="FFFFFF"/>
                <w:sz w:val="36"/>
                <w:szCs w:val="36"/>
              </w:rPr>
              <w:t xml:space="preserve"> - Dvojková sústava 1</w:t>
            </w:r>
          </w:p>
        </w:tc>
        <w:tc>
          <w:tcPr>
            <w:tcW w:w="1354" w:type="dxa"/>
            <w:tcBorders/>
            <w:shd w:color="auto" w:fill="00ADBC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drawing>
                <wp:inline distT="0" distB="0" distL="0" distR="0">
                  <wp:extent cx="414655" cy="414655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31897" t="27494" r="32154" b="28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ing2"/>
        <w:rPr/>
      </w:pPr>
      <w:bookmarkStart w:id="0" w:name="_28wq1ll355xk"/>
      <w:bookmarkEnd w:id="0"/>
      <w:r>
        <w:rPr/>
        <w:t>Pokyny</w:t>
      </w:r>
    </w:p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Všetky 4-bitové čísla:  </w:t>
      </w:r>
      <w:r>
        <w:rPr/>
        <w:t>Doplň tabuľku čísel v dvojkovej a desiatkovej sústave. Pokračuj podľa vzoru..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a0"/>
        <w:tblW w:w="934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773"/>
        <w:gridCol w:w="1875"/>
        <w:gridCol w:w="359"/>
        <w:gridCol w:w="2684"/>
        <w:gridCol w:w="1654"/>
      </w:tblGrid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Binary: 4-bit number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Decimal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Binary: 4-bit number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Decimal</w:t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sz w:val="28"/>
                <w:szCs w:val="28"/>
              </w:rPr>
            </w:pPr>
            <w:r>
              <w:rPr>
                <w:rFonts w:eastAsia="Handlee" w:cs="Handlee" w:ascii="Handlee" w:hAnsi="Handlee"/>
                <w:sz w:val="28"/>
                <w:szCs w:val="28"/>
              </w:rPr>
              <w:t>0000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sz w:val="28"/>
                <w:szCs w:val="28"/>
              </w:rPr>
            </w:pPr>
            <w:r>
              <w:rPr>
                <w:rFonts w:eastAsia="Handlee" w:cs="Handlee" w:ascii="Handlee" w:hAnsi="Handlee"/>
                <w:sz w:val="28"/>
                <w:szCs w:val="28"/>
              </w:rPr>
              <w:t>0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sz w:val="28"/>
                <w:szCs w:val="28"/>
              </w:rPr>
            </w:pPr>
            <w:r>
              <w:rPr>
                <w:rFonts w:eastAsia="Handlee" w:cs="Handlee" w:ascii="Handlee" w:hAnsi="Handlee"/>
                <w:sz w:val="28"/>
                <w:szCs w:val="28"/>
              </w:rPr>
              <w:t>0001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sz w:val="28"/>
                <w:szCs w:val="28"/>
              </w:rPr>
            </w:pPr>
            <w:r>
              <w:rPr>
                <w:rFonts w:eastAsia="Handlee" w:cs="Handlee" w:ascii="Handlee" w:hAnsi="Handlee"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sz w:val="28"/>
                <w:szCs w:val="28"/>
              </w:rPr>
            </w:pPr>
            <w:r>
              <w:rPr>
                <w:rFonts w:eastAsia="Handlee" w:cs="Handlee" w:ascii="Handlee" w:hAnsi="Handlee"/>
                <w:sz w:val="28"/>
                <w:szCs w:val="28"/>
              </w:rPr>
              <w:t>0010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sz w:val="28"/>
                <w:szCs w:val="28"/>
              </w:rPr>
            </w:pPr>
            <w:r>
              <w:rPr>
                <w:rFonts w:eastAsia="Handlee" w:cs="Handlee" w:ascii="Handlee" w:hAnsi="Handlee"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Čo pozorujeme pri porovnaní párnych a nepárnych čísel?  Ako sa to dá vysvetliť?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Binárne čísla s práve jednou 1:  </w:t>
      </w:r>
      <w:r>
        <w:rPr/>
        <w:t>Doplň tabuľku všetkých 8-bitových čísel s práve jednou 1 v dvojkovej sústave.  Pokračuj podľa vzoru.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a1"/>
        <w:tblW w:w="934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773"/>
        <w:gridCol w:w="1875"/>
        <w:gridCol w:w="359"/>
        <w:gridCol w:w="2684"/>
        <w:gridCol w:w="1654"/>
      </w:tblGrid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Binary: 8-bit number</w:t>
              <w:br/>
            </w:r>
            <w:r>
              <w:rPr>
                <w:color w:val="000000"/>
                <w:sz w:val="16"/>
                <w:szCs w:val="16"/>
              </w:rPr>
              <w:t xml:space="preserve">(with exactly one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Decimal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Binary: 8-bit number</w:t>
              <w:br/>
            </w:r>
            <w:r>
              <w:rPr>
                <w:color w:val="000000"/>
                <w:sz w:val="16"/>
                <w:szCs w:val="16"/>
              </w:rPr>
              <w:t xml:space="preserve">(with exactly one </w:t>
            </w:r>
            <w:r>
              <w:rPr>
                <w:i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Decimal</w:t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  <w:t>0000 0001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  <w:t>0000 0010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  <w:t>0000 0100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color w:val="00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color w:val="00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b/>
                <w:b/>
                <w:color w:val="CC0000"/>
                <w:sz w:val="28"/>
                <w:szCs w:val="28"/>
              </w:rPr>
            </w:pPr>
            <w:r>
              <w:rPr>
                <w:rFonts w:eastAsia="Handlee" w:cs="Handlee" w:ascii="Handlee" w:hAnsi="Handlee"/>
                <w:b/>
                <w:color w:val="CC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  <w:t>Čo vidíš, keď si pozrieš desiatkový zápis čísel v tabuľke?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Cvičenie na prevod: </w:t>
      </w:r>
      <w:r>
        <w:rPr/>
        <w:t>Zisti odpovedajúce čísla v tabuľke.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a2"/>
        <w:tblW w:w="934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773"/>
        <w:gridCol w:w="1875"/>
        <w:gridCol w:w="359"/>
        <w:gridCol w:w="2684"/>
        <w:gridCol w:w="1654"/>
      </w:tblGrid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Binary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Decimal</w:t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Binary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Decimal</w:t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right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100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ourier New" w:hAnsi="Courier New" w:eastAsia="Courier New" w:cs="Courier New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right="390" w:hanging="0"/>
              <w:jc w:val="right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right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101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ourier New" w:hAnsi="Courier New" w:eastAsia="Courier New" w:cs="Courier New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right="390" w:hanging="0"/>
              <w:jc w:val="right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right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1101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ourier New" w:hAnsi="Courier New" w:eastAsia="Courier New" w:cs="Courier New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right="390" w:hanging="0"/>
              <w:jc w:val="right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63</w:t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right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1 1111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ourier New" w:hAnsi="Courier New" w:eastAsia="Courier New" w:cs="Courier New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right="390" w:hanging="0"/>
              <w:jc w:val="right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64</w:t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right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10 0000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ourier New" w:hAnsi="Courier New" w:eastAsia="Courier New" w:cs="Courier New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right="390" w:hanging="0"/>
              <w:jc w:val="right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127</w:t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right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1010 1010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ourier New" w:hAnsi="Courier New" w:eastAsia="Courier New" w:cs="Courier New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right="390" w:hanging="0"/>
              <w:jc w:val="right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256</w:t>
            </w:r>
          </w:p>
        </w:tc>
      </w:tr>
      <w:tr>
        <w:trPr/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right"/>
              <w:rPr>
                <w:rFonts w:ascii="Courier New" w:hAnsi="Courier New" w:eastAsia="Courier New" w:cs="Courier New"/>
                <w:b/>
                <w:b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1111 1111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35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Courier New" w:hAnsi="Courier New" w:eastAsia="Courier New" w:cs="Courier New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000000"/>
                <w:sz w:val="28"/>
                <w:szCs w:val="28"/>
              </w:rPr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ind w:right="390" w:hanging="0"/>
              <w:jc w:val="right"/>
              <w:rPr>
                <w:rFonts w:ascii="Courier New" w:hAnsi="Courier New" w:eastAsia="Courier New" w:cs="Courier New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color w:val="FF0000"/>
                <w:sz w:val="28"/>
                <w:szCs w:val="28"/>
              </w:rPr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Handlee" w:hAnsi="Handlee" w:eastAsia="Handlee" w:cs="Handlee"/>
                <w:sz w:val="28"/>
                <w:szCs w:val="28"/>
              </w:rPr>
            </w:pPr>
            <w:r>
              <w:rPr>
                <w:rFonts w:eastAsia="Courier New" w:cs="Courier New" w:ascii="Courier New" w:hAnsi="Courier New"/>
                <w:b/>
                <w:sz w:val="28"/>
                <w:szCs w:val="28"/>
              </w:rPr>
              <w:t>513</w:t>
            </w:r>
          </w:p>
        </w:tc>
      </w:tr>
    </w:tbl>
    <w:p>
      <w:pPr>
        <w:pStyle w:val="Normal"/>
        <w:rPr/>
      </w:pP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Ak pridáš k číslu v desiatkovej sústave napravo nulu, vynásobi sa 10 (napr., “15” zmeníš na “150”).  Čo sa analogicky stane s číslom v dvojkovej sústave, ak vpravo pridáš nulu?  (napr, “11” zmeníš na “110”).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Majú čísla “0011” a “000011” rovnakú či inú hodnotu?  Vysvetli.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Stačili by dva bity na zakódovanie celej abecedy (46 znakov)?  Vysvetli.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Koľko bitov treba na vyjadrenie čísla, ktoré v desiatkovej sústave zapíšeme ako 1000?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979" w:right="720" w:header="0" w:top="431" w:footer="720" w:bottom="77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Ubuntu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andlee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t>Computer Science Principles</w:t>
      <w:tab/>
      <w:tab/>
      <w:tab/>
      <w:tab/>
      <w:tab/>
      <w:tab/>
      <w:tab/>
      <w:tab/>
      <w:tab/>
      <w:tab/>
      <w:t xml:space="preserve">            </w:t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left="2160" w:firstLine="720"/>
      <w:jc w:val="right"/>
      <w:rPr>
        <w:b/>
        <w:b/>
      </w:rPr>
    </w:pPr>
    <w:r>
      <w:rPr>
        <w:b/>
      </w:rPr>
      <w:br/>
      <w:t>Unit 1 Lesson 4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5D6770"/>
        <w:lang w:val="en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52"/>
      <w:jc w:val="left"/>
    </w:pPr>
    <w:rPr>
      <w:rFonts w:ascii="Arial" w:hAnsi="Arial" w:eastAsia="Arial" w:cs="Arial"/>
      <w:color w:val="000000"/>
      <w:kern w:val="0"/>
      <w:sz w:val="20"/>
      <w:szCs w:val="20"/>
      <w:lang w:val="en" w:eastAsia="sk-SK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120" w:after="0"/>
      <w:outlineLvl w:val="0"/>
    </w:pPr>
    <w:rPr>
      <w:rFonts w:ascii="Ubuntu" w:hAnsi="Ubuntu" w:eastAsia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qFormat/>
    <w:pPr>
      <w:keepNext w:val="true"/>
      <w:keepLines/>
      <w:spacing w:lineRule="auto" w:line="240" w:before="120" w:after="0"/>
      <w:outlineLvl w:val="1"/>
    </w:pPr>
    <w:rPr>
      <w:rFonts w:ascii="Ubuntu" w:hAnsi="Ubuntu" w:eastAsia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qFormat/>
    <w:pPr>
      <w:spacing w:lineRule="auto" w:line="276"/>
      <w:outlineLvl w:val="2"/>
    </w:pPr>
    <w:rPr>
      <w:rFonts w:ascii="Ubuntu" w:hAnsi="Ubuntu" w:eastAsia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160" w:after="0"/>
      <w:outlineLvl w:val="3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160" w:after="0"/>
      <w:outlineLvl w:val="4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160" w:after="0"/>
      <w:outlineLvl w:val="5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keepNext w:val="true"/>
      <w:keepLines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LibreOffice/6.3.2.2$Windows_x86 LibreOffice_project/98b30e735bda24bc04ab42594c85f7fd8be07b9c</Application>
  <Pages>2</Pages>
  <Words>217</Words>
  <Characters>1137</Characters>
  <CharactersWithSpaces>1332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2022-01-26T11:03:00Z</dcterms:created>
  <dc:creator/>
  <dc:description/>
  <dc:language>sk-SK</dc:language>
  <cp:lastModifiedBy/>
  <dcterms:modified xsi:type="dcterms:W3CDTF">2022-02-03T11:05:34Z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